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5345">
      <w:pPr>
        <w:pStyle w:val="2"/>
        <w:divId w:val="604848878"/>
        <w:rPr>
          <w:rFonts w:eastAsia="Times New Roman"/>
        </w:rPr>
      </w:pPr>
      <w:r>
        <w:rPr>
          <w:rFonts w:eastAsia="Times New Roman"/>
        </w:rPr>
        <w:t>Просмотр извещения</w:t>
      </w:r>
    </w:p>
    <w:tbl>
      <w:tblPr>
        <w:tblW w:w="5000" w:type="pct"/>
        <w:tblCellMar>
          <w:top w:w="15" w:type="dxa"/>
          <w:left w:w="15" w:type="dxa"/>
          <w:bottom w:w="15" w:type="dxa"/>
          <w:right w:w="15" w:type="dxa"/>
        </w:tblCellMar>
        <w:tblLook w:val="04A0"/>
      </w:tblPr>
      <w:tblGrid>
        <w:gridCol w:w="2815"/>
        <w:gridCol w:w="6570"/>
      </w:tblGrid>
      <w:tr w:rsidR="00000000">
        <w:trPr>
          <w:divId w:val="1417820240"/>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Сведения о процедуре</w:t>
            </w:r>
          </w:p>
        </w:tc>
      </w:tr>
      <w:tr w:rsidR="00000000">
        <w:trPr>
          <w:divId w:val="141782024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Тип процедуры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divId w:val="2064518804"/>
              <w:rPr>
                <w:rFonts w:eastAsia="Times New Roman"/>
              </w:rPr>
            </w:pPr>
            <w:r>
              <w:rPr>
                <w:rFonts w:eastAsia="Times New Roman"/>
              </w:rPr>
              <w:t xml:space="preserve">Аукцион (приватизация) </w:t>
            </w:r>
          </w:p>
        </w:tc>
      </w:tr>
      <w:tr w:rsidR="00000000">
        <w:trPr>
          <w:divId w:val="141782024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Номер процедуры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SBR012-2012030042 </w:t>
            </w:r>
          </w:p>
        </w:tc>
      </w:tr>
      <w:tr w:rsidR="00000000">
        <w:trPr>
          <w:divId w:val="141782024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Наименование процедуры</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продажа муниципального имущества </w:t>
            </w:r>
          </w:p>
        </w:tc>
      </w:tr>
      <w:tr w:rsidR="00000000">
        <w:trPr>
          <w:divId w:val="141782024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Адрес электронной площадки в сети "Интернет"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http://utp.sberbank-ast.ru/AP </w:t>
            </w:r>
          </w:p>
        </w:tc>
      </w:tr>
      <w:tr w:rsidR="00000000">
        <w:trPr>
          <w:divId w:val="141782024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Порядок регистрации претендентов на ЭП, правила проведения процедуры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Определены в регламенте ТС ЭП </w:t>
            </w:r>
          </w:p>
        </w:tc>
      </w:tr>
      <w:tr w:rsidR="00000000">
        <w:trPr>
          <w:divId w:val="141782024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Нормативное регулирование</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Федеральный закон от 21.12.2001 г. №178-ФЗ, Постановление Правительства РФ №860 от 27.08.2012 </w:t>
            </w:r>
          </w:p>
        </w:tc>
      </w:tr>
    </w:tbl>
    <w:tbl>
      <w:tblPr>
        <w:tblW w:w="5000" w:type="pct"/>
        <w:tblCellMar>
          <w:top w:w="15" w:type="dxa"/>
          <w:left w:w="15" w:type="dxa"/>
          <w:bottom w:w="15" w:type="dxa"/>
          <w:right w:w="15" w:type="dxa"/>
        </w:tblCellMar>
        <w:tblLook w:val="04A0"/>
      </w:tblPr>
      <w:tblGrid>
        <w:gridCol w:w="2815"/>
        <w:gridCol w:w="6570"/>
      </w:tblGrid>
      <w:tr w:rsidR="00000000">
        <w:trPr>
          <w:divId w:val="1222709450"/>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Сведения об организаторе процедуры</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Наименование организатора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МУ администрация Кильмезского городского поселения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Полное наименование организатора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МУНИЦИПАЛЬНОЕ УЧРЕЖДЕНИЕ АДМИНИСТРАЦИЯ МУНИЦИПАЛЬНОГО ОБРАЗОВАНИЯ КИЛЬМЕЗСКОЕ ГОРОДСКОЕ ПОСЕЛЕНИЕ КИЛЬМЕЗСКОГО РАЙОНА КИРОВСКОЙ ОБЛАСТИ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ИНН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4310033645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КПП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431001001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Юридический адрес / Место нахождения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613570, Россия, Кировская обл, Кильмезь пгт, Советская, д. 64а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Фактический адрес (почтовый)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613570, Россия, Кировская обл, Кильмезь пгт, Советская, д. 64а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Адрес электронной почты</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admkilmez@mail.ru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Номера контактных телефонов</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8-83338-21885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Контактное лицо</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РОДЫГИН ВИКТОР СЕРГЕЕВИЧ </w:t>
            </w:r>
          </w:p>
        </w:tc>
      </w:tr>
    </w:tbl>
    <w:p w:rsidR="00000000" w:rsidRDefault="00AC5345">
      <w:pPr>
        <w:divId w:val="1318918639"/>
        <w:rPr>
          <w:rFonts w:eastAsia="Times New Roman"/>
          <w:vanish/>
        </w:rPr>
      </w:pPr>
    </w:p>
    <w:tbl>
      <w:tblPr>
        <w:tblW w:w="0" w:type="auto"/>
        <w:tblCellSpacing w:w="15" w:type="dxa"/>
        <w:tblCellMar>
          <w:top w:w="15" w:type="dxa"/>
          <w:left w:w="15" w:type="dxa"/>
          <w:bottom w:w="15" w:type="dxa"/>
          <w:right w:w="15" w:type="dxa"/>
        </w:tblCellMar>
        <w:tblLook w:val="04A0"/>
      </w:tblPr>
      <w:tblGrid>
        <w:gridCol w:w="9475"/>
      </w:tblGrid>
      <w:tr w:rsidR="00000000">
        <w:trPr>
          <w:divId w:val="1318918639"/>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Сведения о заказчике </w:t>
            </w:r>
          </w:p>
        </w:tc>
      </w:tr>
      <w:tr w:rsidR="00000000">
        <w:trPr>
          <w:divId w:val="1318918639"/>
          <w:tblCellSpacing w:w="15" w:type="dxa"/>
        </w:trPr>
        <w:tc>
          <w:tcPr>
            <w:tcW w:w="0" w:type="auto"/>
            <w:tcBorders>
              <w:top w:val="single" w:sz="6" w:space="0" w:color="CCCCCC"/>
              <w:left w:val="single" w:sz="6" w:space="0" w:color="CCCCCC"/>
              <w:bottom w:val="single" w:sz="6" w:space="0" w:color="CCCCCC"/>
              <w:right w:val="single" w:sz="6" w:space="0" w:color="CCCCCC"/>
            </w:tcBorders>
            <w:hideMark/>
          </w:tcPr>
          <w:tbl>
            <w:tblPr>
              <w:tblW w:w="5000" w:type="pct"/>
              <w:tblCellMar>
                <w:top w:w="15" w:type="dxa"/>
                <w:left w:w="15" w:type="dxa"/>
                <w:bottom w:w="15" w:type="dxa"/>
                <w:right w:w="15" w:type="dxa"/>
              </w:tblCellMar>
              <w:tblLook w:val="04A0"/>
            </w:tblPr>
            <w:tblGrid>
              <w:gridCol w:w="2802"/>
              <w:gridCol w:w="6537"/>
            </w:tblGrid>
            <w:tr w:rsidR="00000000">
              <w:trPr>
                <w:divId w:val="1240945582"/>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Сведения об инициаторе/продавце</w:t>
                  </w:r>
                </w:p>
              </w:tc>
            </w:tr>
            <w:tr w:rsidR="00000000">
              <w:trPr>
                <w:divId w:val="1240945582"/>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Наименование инициатора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МУ администрация Кильмезского городского поселения </w:t>
                  </w:r>
                </w:p>
              </w:tc>
            </w:tr>
            <w:tr w:rsidR="00000000">
              <w:trPr>
                <w:divId w:val="1240945582"/>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Полное наименование инициатора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МУНИЦИПАЛЬНОЕ УЧРЕЖДЕНИЕ АДМИНИСТРАЦИЯ МУНИЦИПАЛЬНОГО ОБРАЗОВАНИЯ КИЛЬМЕЗСКОЕ ГОРОДСКОЕ ПОСЕЛЕНИЕ КИЛЬМЕЗСКОГО РАЙОНА КИРОВСКОЙ ОБЛАСТИ </w:t>
                  </w:r>
                </w:p>
              </w:tc>
            </w:tr>
            <w:tr w:rsidR="00000000">
              <w:trPr>
                <w:divId w:val="1240945582"/>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ИНН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4310033645 </w:t>
                  </w:r>
                </w:p>
              </w:tc>
            </w:tr>
            <w:tr w:rsidR="00000000">
              <w:trPr>
                <w:divId w:val="1240945582"/>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КПП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431001001 </w:t>
                  </w:r>
                </w:p>
              </w:tc>
            </w:tr>
            <w:tr w:rsidR="00000000">
              <w:trPr>
                <w:divId w:val="1240945582"/>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Юридический адрес / Место нахождения</w:t>
                  </w:r>
                  <w:r>
                    <w:rPr>
                      <w:rFonts w:eastAsia="Times New Roman"/>
                    </w:rPr>
                    <w:t xml:space="preserve">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613570, Россия, Кировская обл, Кильмезь пгт, Советская, д. 64а </w:t>
                  </w:r>
                </w:p>
              </w:tc>
            </w:tr>
            <w:tr w:rsidR="00000000">
              <w:trPr>
                <w:divId w:val="1240945582"/>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Фактический адрес </w:t>
                  </w:r>
                  <w:r>
                    <w:rPr>
                      <w:rFonts w:eastAsia="Times New Roman"/>
                    </w:rPr>
                    <w:lastRenderedPageBreak/>
                    <w:t xml:space="preserve">(почтовый)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lastRenderedPageBreak/>
                    <w:t xml:space="preserve">613570, Россия, Кировская обл, Кильмезь пгт, Советская, д. </w:t>
                  </w:r>
                  <w:r>
                    <w:rPr>
                      <w:rFonts w:eastAsia="Times New Roman"/>
                    </w:rPr>
                    <w:lastRenderedPageBreak/>
                    <w:t xml:space="preserve">64а </w:t>
                  </w:r>
                </w:p>
              </w:tc>
            </w:tr>
          </w:tbl>
          <w:p w:rsidR="00000000" w:rsidRDefault="00AC5345">
            <w:pPr>
              <w:rPr>
                <w:rFonts w:eastAsia="Times New Roman"/>
              </w:rPr>
            </w:pPr>
          </w:p>
        </w:tc>
      </w:tr>
    </w:tbl>
    <w:tbl>
      <w:tblPr>
        <w:tblW w:w="0" w:type="auto"/>
        <w:tblCellSpacing w:w="15" w:type="dxa"/>
        <w:tblCellMar>
          <w:top w:w="15" w:type="dxa"/>
          <w:left w:w="15" w:type="dxa"/>
          <w:bottom w:w="15" w:type="dxa"/>
          <w:right w:w="15" w:type="dxa"/>
        </w:tblCellMar>
        <w:tblLook w:val="04A0"/>
      </w:tblPr>
      <w:tblGrid>
        <w:gridCol w:w="9475"/>
      </w:tblGrid>
      <w:tr w:rsidR="00000000">
        <w:trPr>
          <w:divId w:val="1222709450"/>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lastRenderedPageBreak/>
              <w:t xml:space="preserve">Лоты </w:t>
            </w:r>
          </w:p>
        </w:tc>
      </w:tr>
      <w:tr w:rsidR="00000000">
        <w:trPr>
          <w:divId w:val="1222709450"/>
          <w:tblCellSpacing w:w="15" w:type="dxa"/>
        </w:trPr>
        <w:tc>
          <w:tcPr>
            <w:tcW w:w="0" w:type="auto"/>
            <w:tcBorders>
              <w:top w:val="single" w:sz="6" w:space="0" w:color="CCCCCC"/>
              <w:left w:val="single" w:sz="6" w:space="0" w:color="CCCCCC"/>
              <w:bottom w:val="single" w:sz="6" w:space="0" w:color="CCCCCC"/>
              <w:right w:val="single" w:sz="6" w:space="0" w:color="CCCCCC"/>
            </w:tcBorders>
            <w:hideMark/>
          </w:tcPr>
          <w:tbl>
            <w:tblPr>
              <w:tblW w:w="5000" w:type="pct"/>
              <w:tblCellMar>
                <w:top w:w="15" w:type="dxa"/>
                <w:left w:w="15" w:type="dxa"/>
                <w:bottom w:w="15" w:type="dxa"/>
                <w:right w:w="15" w:type="dxa"/>
              </w:tblCellMar>
              <w:tblLook w:val="04A0"/>
            </w:tblPr>
            <w:tblGrid>
              <w:gridCol w:w="2410"/>
              <w:gridCol w:w="6929"/>
            </w:tblGrid>
            <w:tr w:rsidR="00000000">
              <w:trPr>
                <w:divId w:val="98987364"/>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Сведения о лоте</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Номер лота</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1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Статус лота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Опубликован(-а)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Причина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Наименование лота</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продажа муниципального имущества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Статус торгов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Повторные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Информация о предыдущих торгах </w:t>
                  </w:r>
                </w:p>
              </w:tc>
              <w:tc>
                <w:tcPr>
                  <w:tcW w:w="0" w:type="auto"/>
                  <w:tcBorders>
                    <w:top w:val="single" w:sz="6" w:space="0" w:color="CCCCCC"/>
                    <w:left w:val="single" w:sz="6" w:space="0" w:color="CCCCCC"/>
                    <w:bottom w:val="single" w:sz="6" w:space="0" w:color="CCCCCC"/>
                    <w:right w:val="single" w:sz="6" w:space="0" w:color="CCCCCC"/>
                  </w:tcBorders>
                  <w:hideMark/>
                </w:tcPr>
                <w:tbl>
                  <w:tblPr>
                    <w:tblW w:w="0" w:type="auto"/>
                    <w:tblCellSpacing w:w="15" w:type="dxa"/>
                    <w:tblCellMar>
                      <w:top w:w="15" w:type="dxa"/>
                      <w:left w:w="15" w:type="dxa"/>
                      <w:bottom w:w="15" w:type="dxa"/>
                      <w:right w:w="15" w:type="dxa"/>
                    </w:tblCellMar>
                    <w:tblLook w:val="04A0"/>
                  </w:tblPr>
                  <w:tblGrid>
                    <w:gridCol w:w="2472"/>
                  </w:tblGrid>
                  <w:tr w:rsidR="00000000">
                    <w:trPr>
                      <w:divId w:val="4408006"/>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spacing w:after="240"/>
                          <w:rPr>
                            <w:rFonts w:eastAsia="Times New Roman"/>
                          </w:rPr>
                        </w:pPr>
                        <w:r>
                          <w:rPr>
                            <w:rFonts w:eastAsia="Times New Roman"/>
                          </w:rPr>
                          <w:t xml:space="preserve">Единый протокол.docx </w:t>
                        </w:r>
                        <w:r>
                          <w:rPr>
                            <w:rFonts w:eastAsia="Times New Roman"/>
                          </w:rPr>
                          <w:br/>
                          <w:t xml:space="preserve">03.12.2020 </w:t>
                        </w:r>
                      </w:p>
                    </w:tc>
                  </w:tr>
                </w:tbl>
                <w:p w:rsidR="00000000" w:rsidRDefault="00AC5345">
                  <w:pPr>
                    <w:rPr>
                      <w:rFonts w:eastAsia="Times New Roman"/>
                    </w:rPr>
                  </w:pP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Основание для проведения процедуры</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муниципальной программы «Управление и распоряжение муниципальным имуществом МО Кильмезское городское поселение на 2020-2022 гг.», утвержденной решением Кильмезской поселковой Думы от 15.11.2019 № 8/3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Описание имущества (объекта) / характеристики</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з</w:t>
                  </w:r>
                  <w:r>
                    <w:rPr>
                      <w:rFonts w:eastAsia="Times New Roman"/>
                    </w:rPr>
                    <w:t>дание центра занятости, назначение: нежилое здание, 1-этажное, общая площадь 187,1 кв.м., кадастровый номер 43:11:310117:156, адрес (местонахождение) объекта: Кировская область, Кильмезский район, пгт Кильмезь, ул. Труда, д. 25, с земельным участком, катег</w:t>
                  </w:r>
                  <w:r>
                    <w:rPr>
                      <w:rFonts w:eastAsia="Times New Roman"/>
                    </w:rPr>
                    <w:t>ория земель: земли населенных пунктов, разрешённое использование: размещение административного здания, общая площадь 670 кв.м., кадастровый номер: 43:11:310117:7, адрес (местонахождение) объекта: Кировская область, Кильмезский район, пгт Кильмезь, ул. Труд</w:t>
                  </w:r>
                  <w:r>
                    <w:rPr>
                      <w:rFonts w:eastAsia="Times New Roman"/>
                    </w:rPr>
                    <w:t xml:space="preserve">а, д. 25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Файл с описанием / характеристиками </w:t>
                  </w:r>
                </w:p>
              </w:tc>
              <w:tc>
                <w:tcPr>
                  <w:tcW w:w="0" w:type="auto"/>
                  <w:tcBorders>
                    <w:top w:val="single" w:sz="6" w:space="0" w:color="CCCCCC"/>
                    <w:left w:val="single" w:sz="6" w:space="0" w:color="CCCCCC"/>
                    <w:bottom w:val="single" w:sz="6" w:space="0" w:color="CCCCCC"/>
                    <w:right w:val="single" w:sz="6" w:space="0" w:color="CCCCCC"/>
                  </w:tcBorders>
                  <w:hideMark/>
                </w:tcPr>
                <w:tbl>
                  <w:tblPr>
                    <w:tblW w:w="0" w:type="auto"/>
                    <w:tblCellSpacing w:w="15" w:type="dxa"/>
                    <w:tblCellMar>
                      <w:top w:w="15" w:type="dxa"/>
                      <w:left w:w="15" w:type="dxa"/>
                      <w:bottom w:w="15" w:type="dxa"/>
                      <w:right w:w="15" w:type="dxa"/>
                    </w:tblCellMar>
                    <w:tblLook w:val="04A0"/>
                  </w:tblPr>
                  <w:tblGrid>
                    <w:gridCol w:w="126"/>
                  </w:tblGrid>
                  <w:tr w:rsidR="00000000">
                    <w:trPr>
                      <w:divId w:val="734088533"/>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spacing w:after="240"/>
                          <w:rPr>
                            <w:rFonts w:eastAsia="Times New Roman"/>
                          </w:rPr>
                        </w:pPr>
                        <w:r>
                          <w:rPr>
                            <w:rFonts w:eastAsia="Times New Roman"/>
                          </w:rPr>
                          <w:br/>
                        </w:r>
                      </w:p>
                    </w:tc>
                  </w:tr>
                </w:tbl>
                <w:p w:rsidR="00000000" w:rsidRDefault="00AC5345">
                  <w:pPr>
                    <w:rPr>
                      <w:rFonts w:eastAsia="Times New Roman"/>
                    </w:rPr>
                  </w:pP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Регион / Местоположение</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Кировская область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Тип имущества / объекта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Муниципальное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Категория имущества / объекта</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Недвижимое имущество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Порядок ознакомления с имуществом /объектом</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 1) для зарегистрированных в ТС ЭП пользователе</w:t>
                  </w:r>
                  <w:r>
                    <w:rPr>
                      <w:rFonts w:eastAsia="Times New Roman"/>
                    </w:rPr>
                    <w:t>й подача запроса на разъяснение возможна из Личного кабинета (порядок подачи запроса описан в инструкции Претендента (Участника)); 2) для незарегистрированных пользователей подача запроса возможна только из открытой части ЭП, для этого необходимо в ТС ЭП п</w:t>
                  </w:r>
                  <w:r>
                    <w:rPr>
                      <w:rFonts w:eastAsia="Times New Roman"/>
                    </w:rPr>
                    <w:t xml:space="preserve">ерейти в раздел «Процедуры», подраздел «Реестр процедур (лотов)», нажать на пиктограмму «Направит запрос о разъяснениях». На форме запроса необходимо указать тему запроса, в поле «Запрос на разъяснение» прикрепить файл с содержанием вопроса, нажать кнопку </w:t>
                  </w:r>
                  <w:r>
                    <w:rPr>
                      <w:rFonts w:eastAsia="Times New Roman"/>
                    </w:rPr>
                    <w:t xml:space="preserve">«Направить запрос». Ответ Организатора процедуры (Продавца) с разъяснениями </w:t>
                  </w:r>
                  <w:r>
                    <w:rPr>
                      <w:rFonts w:eastAsia="Times New Roman"/>
                    </w:rPr>
                    <w:lastRenderedPageBreak/>
                    <w:t xml:space="preserve">размещается в извещении о проведении процедуры продажи.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lastRenderedPageBreak/>
                    <w:t>Обременения (ограничения)</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нет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Валюта</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Российский рубль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Начальная цена</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253 000.00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Шаг торговой сессии</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12 650.00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Перечисление задатка на счета Оператора электронной площадки</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да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Размер задатка, руб.</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50 600.00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Размер депозита, руб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0.00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Срок и порядок внесения и возврата задатка. Реквизиты счета для перечисления задатка. Назначение платежа</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Задаток вносится единым платежом. Условия, указанные в извещении , являются условиями публичной оферты в соответствии со статьей 437 Гражданского к</w:t>
                  </w:r>
                  <w:r>
                    <w:rPr>
                      <w:rFonts w:eastAsia="Times New Roman"/>
                    </w:rPr>
                    <w:t>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Задаток возвращается претенденту в порядке, предусмотренном регламенто</w:t>
                  </w:r>
                  <w:r>
                    <w:rPr>
                      <w:rFonts w:eastAsia="Times New Roman"/>
                    </w:rPr>
                    <w:t>м торговой секции «Приватизация, аренда и продажа прав» универсальной торговой платформы ЗАО «Сбербанк-АСТ» utp.sberbank-ast.ru в следующих случаях: - в случае отзыва зарегистрированной заявки претендентом до даты окончания приема заявок; - в случае если у</w:t>
                  </w:r>
                  <w:r>
                    <w:rPr>
                      <w:rFonts w:eastAsia="Times New Roman"/>
                    </w:rPr>
                    <w:t xml:space="preserve">частник аукциона не признан победителем либо аукцион признан несостоявшимся. 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r>
                    <w:rPr>
                      <w:rFonts w:eastAsia="Times New Roman"/>
                    </w:rPr>
                    <w:t>ВНИМАНИЕ!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 Задаток перечисляется на счёт оператора</w:t>
                  </w:r>
                  <w:r>
                    <w:rPr>
                      <w:rFonts w:eastAsia="Times New Roman"/>
                    </w:rPr>
                    <w:t xml:space="preserve">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–АСТ» (utp.sberbank-ast.ru) (далее – ТС ЭП). Реквизиты для перечисления средств и назначение пла</w:t>
                  </w:r>
                  <w:r>
                    <w:rPr>
                      <w:rFonts w:eastAsia="Times New Roman"/>
                    </w:rPr>
                    <w:t>тежа представлены в ТС пункт меню «Информация по ТС» подпункт «Банковские реквизиты» http://utp.sberbank-ast.ru/Bankruptcy/Notice/698/Requisites. В момент подачи заявки Участника на участие и её регистрации ЭП программными средствами осуществляет блокирова</w:t>
                  </w:r>
                  <w:r>
                    <w:rPr>
                      <w:rFonts w:eastAsia="Times New Roman"/>
                    </w:rPr>
                    <w:t>ние денежных средств в сумме задатка (при их наличии на лицевом счёте, открытом на электронной площадке при регистрации). Если на момент подачи заявки денежных средств в сумме задатка на лицевом счёте претендента недостаточно, заявка регистрируется операто</w:t>
                  </w:r>
                  <w:r>
                    <w:rPr>
                      <w:rFonts w:eastAsia="Times New Roman"/>
                    </w:rPr>
                    <w:t xml:space="preserve">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w:t>
                  </w:r>
                  <w:r>
                    <w:rPr>
                      <w:rFonts w:eastAsia="Times New Roman"/>
                    </w:rPr>
                    <w:lastRenderedPageBreak/>
                    <w:t>дня рассмотрения заявок и определения участников торгов. Если по состояни</w:t>
                  </w:r>
                  <w:r>
                    <w:rPr>
                      <w:rFonts w:eastAsia="Times New Roman"/>
                    </w:rPr>
                    <w:t>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w:t>
                  </w:r>
                  <w:r>
                    <w:rPr>
                      <w:rFonts w:eastAsia="Times New Roman"/>
                    </w:rPr>
                    <w:t>влена информация о не поступлении на ЭП задатка от такого претендента (Претендент не допускается к участию в процедуре). Разблокирование задатка производится в порядке, определённом в регламенте ТС ЭП. Задаток, перечисленный победителем процедуры, засчитыв</w:t>
                  </w:r>
                  <w:r>
                    <w:rPr>
                      <w:rFonts w:eastAsia="Times New Roman"/>
                    </w:rPr>
                    <w:t>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w:t>
                  </w:r>
                  <w:r>
                    <w:rPr>
                      <w:rFonts w:eastAsia="Times New Roman"/>
                    </w:rPr>
                    <w:t xml:space="preserve">му не возвращается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lastRenderedPageBreak/>
                    <w:t>Срок заключения договора по итогам процедуры</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Договор купли-продажи Объекта заключается между продавцом и победителем аукциона в установленном законодательством порядке в течение 5 рабочих дней с даты подведения итогов аукциона в</w:t>
                  </w:r>
                  <w:r>
                    <w:rPr>
                      <w:rFonts w:eastAsia="Times New Roman"/>
                    </w:rPr>
                    <w:t xml:space="preserve"> простой письменной форме по месту нахождения Организатора торгов. При уклонении или отказе победителя аукциона от заключения в установленный срок договора купли-продажи имущества задаток ему не возвращается, и победитель утрачивает право на заключение ука</w:t>
                  </w:r>
                  <w:r>
                    <w:rPr>
                      <w:rFonts w:eastAsia="Times New Roman"/>
                    </w:rPr>
                    <w:t xml:space="preserve">занного договора. Оплата имущества покупателем производится в безналичной форме единовременно в размере и сроки указанные в договоре купли-продажи.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Информация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Условия, указанные в извещении,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w:t>
                  </w:r>
                  <w:r>
                    <w:rPr>
                      <w:rFonts w:eastAsia="Times New Roman"/>
                    </w:rPr>
                    <w:t xml:space="preserve">ется заключенным в установленном порядке.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Иная информация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Номер извещения на сайте www.torgi.gov.ru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031220/1280360/01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Ссылка на извещение на сайте www.torgi.gov.ru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hyperlink w:tgtFrame="_self" w:history="1">
                    <w:r>
                      <w:rPr>
                        <w:rStyle w:val="a3"/>
                        <w:rFonts w:eastAsia="Times New Roman"/>
                      </w:rPr>
                      <w:t>Ссылка на извещение на сайте www.torgi.gov.ru</w:t>
                    </w:r>
                  </w:hyperlink>
                  <w:r>
                    <w:rPr>
                      <w:rFonts w:eastAsia="Times New Roman"/>
                    </w:rPr>
                    <w:t xml:space="preserve"> </w:t>
                  </w: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Перечень претендентов, не допущенных к участию </w:t>
                  </w:r>
                </w:p>
              </w:tc>
              <w:tc>
                <w:tcPr>
                  <w:tcW w:w="0" w:type="auto"/>
                  <w:tcBorders>
                    <w:top w:val="single" w:sz="6" w:space="0" w:color="CCCCCC"/>
                    <w:left w:val="single" w:sz="6" w:space="0" w:color="CCCCCC"/>
                    <w:bottom w:val="single" w:sz="6" w:space="0" w:color="CCCCCC"/>
                    <w:right w:val="single" w:sz="6" w:space="0" w:color="CCCCCC"/>
                  </w:tcBorders>
                  <w:hideMark/>
                </w:tcPr>
                <w:tbl>
                  <w:tblPr>
                    <w:tblW w:w="0" w:type="auto"/>
                    <w:tblCellSpacing w:w="15" w:type="dxa"/>
                    <w:tblCellMar>
                      <w:top w:w="15" w:type="dxa"/>
                      <w:left w:w="15" w:type="dxa"/>
                      <w:bottom w:w="15" w:type="dxa"/>
                      <w:right w:w="15" w:type="dxa"/>
                    </w:tblCellMar>
                    <w:tblLook w:val="04A0"/>
                  </w:tblPr>
                  <w:tblGrid>
                    <w:gridCol w:w="1351"/>
                    <w:gridCol w:w="3085"/>
                    <w:gridCol w:w="2447"/>
                  </w:tblGrid>
                  <w:tr w:rsidR="00000000">
                    <w:trPr>
                      <w:divId w:val="1025014040"/>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Номер заявки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Наименование / ФИО претендента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Дата и время регистрации </w:t>
                        </w:r>
                      </w:p>
                    </w:tc>
                  </w:tr>
                  <w:tr w:rsidR="00000000">
                    <w:trPr>
                      <w:divId w:val="1025014040"/>
                      <w:tblCellSpacing w:w="15" w:type="dxa"/>
                    </w:trPr>
                    <w:tc>
                      <w:tcPr>
                        <w:tcW w:w="0" w:type="auto"/>
                        <w:gridSpan w:val="3"/>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r>
                </w:tbl>
                <w:p w:rsidR="00000000" w:rsidRDefault="00AC5345">
                  <w:pPr>
                    <w:rPr>
                      <w:rFonts w:eastAsia="Times New Roman"/>
                    </w:rPr>
                  </w:pP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Сведения о победителе/Единственном участнике </w:t>
                  </w:r>
                </w:p>
              </w:tc>
              <w:tc>
                <w:tcPr>
                  <w:tcW w:w="0" w:type="auto"/>
                  <w:tcBorders>
                    <w:top w:val="single" w:sz="6" w:space="0" w:color="CCCCCC"/>
                    <w:left w:val="single" w:sz="6" w:space="0" w:color="CCCCCC"/>
                    <w:bottom w:val="single" w:sz="6" w:space="0" w:color="CCCCCC"/>
                    <w:right w:val="single" w:sz="6" w:space="0" w:color="CCCCCC"/>
                  </w:tcBorders>
                  <w:hideMark/>
                </w:tcPr>
                <w:tbl>
                  <w:tblPr>
                    <w:tblW w:w="0" w:type="auto"/>
                    <w:tblCellSpacing w:w="15" w:type="dxa"/>
                    <w:tblCellMar>
                      <w:top w:w="15" w:type="dxa"/>
                      <w:left w:w="15" w:type="dxa"/>
                      <w:bottom w:w="15" w:type="dxa"/>
                      <w:right w:w="15" w:type="dxa"/>
                    </w:tblCellMar>
                    <w:tblLook w:val="04A0"/>
                  </w:tblPr>
                  <w:tblGrid>
                    <w:gridCol w:w="1058"/>
                    <w:gridCol w:w="2204"/>
                    <w:gridCol w:w="1860"/>
                    <w:gridCol w:w="1761"/>
                  </w:tblGrid>
                  <w:tr w:rsidR="00000000">
                    <w:trPr>
                      <w:divId w:val="1206061078"/>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Номер заявки</w:t>
                        </w:r>
                        <w:r>
                          <w:rPr>
                            <w:rFonts w:eastAsia="Times New Roman"/>
                            <w:b/>
                            <w:bCs/>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Наименование / ФИО участника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Дата и время регистрации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Предложение о цене </w:t>
                        </w:r>
                      </w:p>
                    </w:tc>
                  </w:tr>
                  <w:tr w:rsidR="00000000">
                    <w:trPr>
                      <w:divId w:val="1206061078"/>
                      <w:tblCellSpacing w:w="15" w:type="dxa"/>
                    </w:trPr>
                    <w:tc>
                      <w:tcPr>
                        <w:tcW w:w="0" w:type="auto"/>
                        <w:gridSpan w:val="4"/>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r>
                </w:tbl>
                <w:p w:rsidR="00000000" w:rsidRDefault="00AC5345">
                  <w:pPr>
                    <w:rPr>
                      <w:rFonts w:eastAsia="Times New Roman"/>
                    </w:rPr>
                  </w:pPr>
                </w:p>
              </w:tc>
            </w:tr>
            <w:tr w:rsidR="00000000">
              <w:trPr>
                <w:divId w:val="98987364"/>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lastRenderedPageBreak/>
                    <w:t xml:space="preserve">Протоколы </w:t>
                  </w:r>
                </w:p>
              </w:tc>
              <w:tc>
                <w:tcPr>
                  <w:tcW w:w="0" w:type="auto"/>
                  <w:tcBorders>
                    <w:top w:val="single" w:sz="6" w:space="0" w:color="CCCCCC"/>
                    <w:left w:val="single" w:sz="6" w:space="0" w:color="CCCCCC"/>
                    <w:bottom w:val="single" w:sz="6" w:space="0" w:color="CCCCCC"/>
                    <w:right w:val="single" w:sz="6" w:space="0" w:color="CCCCCC"/>
                  </w:tcBorders>
                  <w:hideMark/>
                </w:tcPr>
                <w:tbl>
                  <w:tblPr>
                    <w:tblW w:w="0" w:type="auto"/>
                    <w:tblCellSpacing w:w="15" w:type="dxa"/>
                    <w:tblCellMar>
                      <w:top w:w="15" w:type="dxa"/>
                      <w:left w:w="15" w:type="dxa"/>
                      <w:bottom w:w="15" w:type="dxa"/>
                      <w:right w:w="15" w:type="dxa"/>
                    </w:tblCellMar>
                    <w:tblLook w:val="04A0"/>
                  </w:tblPr>
                  <w:tblGrid>
                    <w:gridCol w:w="551"/>
                    <w:gridCol w:w="1091"/>
                    <w:gridCol w:w="1497"/>
                    <w:gridCol w:w="1091"/>
                    <w:gridCol w:w="2653"/>
                  </w:tblGrid>
                  <w:tr w:rsidR="00000000">
                    <w:trPr>
                      <w:divId w:val="1388064231"/>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Дата и время протокола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Наименование протокола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Статус протокола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Сведения о внесении изменений </w:t>
                        </w:r>
                      </w:p>
                    </w:tc>
                  </w:tr>
                  <w:tr w:rsidR="00000000">
                    <w:trPr>
                      <w:divId w:val="1388064231"/>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noProof/>
                            <w:color w:val="0000FF"/>
                          </w:rPr>
                          <w:drawing>
                            <wp:inline distT="0" distB="0" distL="0" distR="0">
                              <wp:extent cx="304800" cy="304800"/>
                              <wp:effectExtent l="19050" t="0" r="0" b="0"/>
                              <wp:docPr id="1" name="Рисунок 1" descr="#">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5" tgtFrame="&quot;_self&quot;"/>
                                      </pic:cNvPr>
                                      <pic:cNvPicPr>
                                        <a:picLocks noChangeAspect="1" noChangeArrowheads="1"/>
                                      </pic:cNvPicPr>
                                    </pic:nvPicPr>
                                    <pic:blipFill>
                                      <a:blip r:link="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hideMark/>
                      </w:tcPr>
                      <w:tbl>
                        <w:tblPr>
                          <w:tblW w:w="0" w:type="auto"/>
                          <w:tblCellSpacing w:w="15" w:type="dxa"/>
                          <w:tblCellMar>
                            <w:top w:w="15" w:type="dxa"/>
                            <w:left w:w="15" w:type="dxa"/>
                            <w:bottom w:w="15" w:type="dxa"/>
                            <w:right w:w="15" w:type="dxa"/>
                          </w:tblCellMar>
                          <w:tblLook w:val="04A0"/>
                        </w:tblPr>
                        <w:tblGrid>
                          <w:gridCol w:w="552"/>
                          <w:gridCol w:w="549"/>
                          <w:gridCol w:w="1431"/>
                        </w:tblGrid>
                        <w:tr w:rsidR="00000000">
                          <w:trPr>
                            <w:divId w:val="2142965039"/>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Дата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Комментарий </w:t>
                              </w:r>
                            </w:p>
                          </w:tc>
                        </w:tr>
                        <w:tr w:rsidR="00000000">
                          <w:trPr>
                            <w:divId w:val="2142965039"/>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noProof/>
                                  <w:color w:val="0000FF"/>
                                </w:rPr>
                                <w:drawing>
                                  <wp:inline distT="0" distB="0" distL="0" distR="0">
                                    <wp:extent cx="304800" cy="304800"/>
                                    <wp:effectExtent l="19050" t="0" r="0" b="0"/>
                                    <wp:docPr id="2" name="Рисунок 2" descr="#">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5" tgtFrame="&quot;_self&quot;"/>
                                            </pic:cNvPr>
                                            <pic:cNvPicPr>
                                              <a:picLocks noChangeAspect="1" noChangeArrowheads="1"/>
                                            </pic:cNvPicPr>
                                          </pic:nvPicPr>
                                          <pic:blipFill>
                                            <a:blip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r>
                      </w:tbl>
                      <w:p w:rsidR="00000000" w:rsidRDefault="00AC5345">
                        <w:pPr>
                          <w:rPr>
                            <w:rFonts w:eastAsia="Times New Roman"/>
                          </w:rPr>
                        </w:pPr>
                      </w:p>
                    </w:tc>
                  </w:tr>
                </w:tbl>
                <w:p w:rsidR="00000000" w:rsidRDefault="00AC5345">
                  <w:pPr>
                    <w:rPr>
                      <w:rFonts w:eastAsia="Times New Roman"/>
                    </w:rPr>
                  </w:pPr>
                </w:p>
              </w:tc>
            </w:tr>
          </w:tbl>
          <w:p w:rsidR="00000000" w:rsidRDefault="00AC5345">
            <w:pPr>
              <w:rPr>
                <w:rFonts w:eastAsia="Times New Roman"/>
              </w:rPr>
            </w:pPr>
          </w:p>
        </w:tc>
      </w:tr>
    </w:tbl>
    <w:p w:rsidR="00000000" w:rsidRDefault="00AC5345">
      <w:pPr>
        <w:divId w:val="1323237521"/>
        <w:rPr>
          <w:rFonts w:eastAsia="Times New Roman"/>
          <w:vanish/>
        </w:rPr>
      </w:pPr>
    </w:p>
    <w:tbl>
      <w:tblPr>
        <w:tblW w:w="5000" w:type="pct"/>
        <w:tblCellMar>
          <w:top w:w="15" w:type="dxa"/>
          <w:left w:w="15" w:type="dxa"/>
          <w:bottom w:w="15" w:type="dxa"/>
          <w:right w:w="15" w:type="dxa"/>
        </w:tblCellMar>
        <w:tblLook w:val="04A0"/>
      </w:tblPr>
      <w:tblGrid>
        <w:gridCol w:w="2815"/>
        <w:gridCol w:w="6570"/>
      </w:tblGrid>
      <w:tr w:rsidR="00000000">
        <w:trPr>
          <w:divId w:val="1323237521"/>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Порядок оформления заявок на участие</w:t>
            </w:r>
          </w:p>
        </w:tc>
      </w:tr>
      <w:tr w:rsidR="00000000">
        <w:trPr>
          <w:divId w:val="1323237521"/>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Требования, предъявляемые к Участнику</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К участию в процедуре продажи допускаются любые юридические и физические лица (с учетом ограничения участия отдельных категорий участников, установленных статьёй 5 закона о приватизации), своевременно подавшие заявку на участие в аукционе (с приложением эл</w:t>
            </w:r>
            <w:r>
              <w:rPr>
                <w:rFonts w:eastAsia="Times New Roman"/>
              </w:rPr>
              <w:t xml:space="preserve">ектронных образов документов, предусмотренных Законом о приватизации) и обеспечившие в установленный срок перечисление задатка. ВНИМАНИЕ! Для подачи заявки на участие в продаже Претендент должен быть зарегистрирован в ТС ЭП. </w:t>
            </w:r>
          </w:p>
        </w:tc>
      </w:tr>
      <w:tr w:rsidR="00000000">
        <w:trPr>
          <w:divId w:val="1323237521"/>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Перечень документов, предо</w:t>
            </w:r>
            <w:r>
              <w:rPr>
                <w:rFonts w:eastAsia="Times New Roman"/>
              </w:rPr>
              <w:t>ставляемых Участником в составе заявки</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юридические лица: - учредительные документы;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Pr>
                <w:rFonts w:eastAsia="Times New Roman"/>
              </w:rPr>
              <w:t>владельцев акций либо выписка из него или заверенное печатью юридического лица и подписанное его руководителем письмо); - документ, который подтверждает полномочия руководителя юридического лица на осуществление действий от имени юридического лица и в соот</w:t>
            </w:r>
            <w:r>
              <w:rPr>
                <w:rFonts w:eastAsia="Times New Roman"/>
              </w:rPr>
              <w:t>ветствии с которым руководитель юридического лица обладает правом действовать от имени юридического лица без доверенности. физические лица: представляют документ, удостоверяющий личность, или представляют копии всех его листов. В случае, если от имени прет</w:t>
            </w:r>
            <w:r>
              <w:rPr>
                <w:rFonts w:eastAsia="Times New Roman"/>
              </w:rPr>
              <w:t>ендента действует его представитель по доверенности, к заявке должно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w:t>
            </w:r>
            <w:r>
              <w:rPr>
                <w:rFonts w:eastAsia="Times New Roman"/>
              </w:rPr>
              <w:t>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Одно лицо имеет право подать только одну заявку на один объ</w:t>
            </w:r>
            <w:r>
              <w:rPr>
                <w:rFonts w:eastAsia="Times New Roman"/>
              </w:rPr>
              <w:t>ект приватизации. К документам прилагается ОПИСЬ ДОКУМЕНТОВ, составленных в произвольной форме с указанием количества листов каждого документа. Соблюдение претендентом указанных требований означает, что заявка и документы, представляемые одновременно с зая</w:t>
            </w:r>
            <w:r>
              <w:rPr>
                <w:rFonts w:eastAsia="Times New Roman"/>
              </w:rPr>
              <w:t xml:space="preserve">вкой, поданы претендентом в полном объеме. </w:t>
            </w:r>
          </w:p>
        </w:tc>
      </w:tr>
      <w:tr w:rsidR="00000000">
        <w:trPr>
          <w:divId w:val="1323237521"/>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lastRenderedPageBreak/>
              <w:t>Требование к приложению заявки на участие по форме Организатора процедуры</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Не требуется </w:t>
            </w:r>
          </w:p>
        </w:tc>
      </w:tr>
      <w:tr w:rsidR="00000000">
        <w:trPr>
          <w:divId w:val="1323237521"/>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Требования к оформлению представляемых участниками документов</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Заявка оформляется на русском языке, подается </w:t>
            </w:r>
            <w:r>
              <w:rPr>
                <w:rFonts w:eastAsia="Times New Roman"/>
              </w:rPr>
              <w:t>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w:t>
            </w:r>
            <w:r>
              <w:rPr>
                <w:rFonts w:eastAsia="Times New Roman"/>
              </w:rPr>
              <w:t xml:space="preserve">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w:t>
            </w:r>
            <w:r>
              <w:rPr>
                <w:rFonts w:eastAsia="Times New Roman"/>
              </w:rPr>
              <w:t>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ВНИМАНИЕ! Н</w:t>
            </w:r>
            <w:r>
              <w:rPr>
                <w:rFonts w:eastAsia="Times New Roman"/>
              </w:rPr>
              <w:t>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w:t>
            </w:r>
            <w:r>
              <w:rPr>
                <w:rFonts w:eastAsia="Times New Roman"/>
              </w:rPr>
              <w:t xml:space="preserve">кументов и сведений. </w:t>
            </w:r>
          </w:p>
        </w:tc>
      </w:tr>
      <w:tr w:rsidR="00000000">
        <w:trPr>
          <w:divId w:val="1323237521"/>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Ограничение участия отдельных категорий участников</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К участию в процедуре продажи допускаются любые юридические и физические лица, за исключением: - государственных и муниципальных унитарных предприятий, государственных и муниципальных учреждений; - юридических лиц, в уставном капитале которых доля Российск</w:t>
            </w:r>
            <w:r>
              <w:rPr>
                <w:rFonts w:eastAsia="Times New Roman"/>
              </w:rPr>
              <w:t>ой Федерации, субъектов Российской Федерации и муниципальных образований превышает 25 %; -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w:t>
            </w:r>
            <w:r>
              <w:rPr>
                <w:rFonts w:eastAsia="Times New Roman"/>
              </w:rPr>
              <w:t>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 юридических лиц, в отношении к</w:t>
            </w:r>
            <w:r>
              <w:rPr>
                <w:rFonts w:eastAsia="Times New Roman"/>
              </w:rPr>
              <w:t>оторых офшорной компанией или группой лиц, в которую входит офшорная компания, осуществляется контроль; иных случаев, предусмотренных статьёй 5 Закона о приватизации. Понятия «группа лиц» и «контроль» используются в значениях, указанных соответственно в ст</w:t>
            </w:r>
            <w:r>
              <w:rPr>
                <w:rFonts w:eastAsia="Times New Roman"/>
              </w:rPr>
              <w:t xml:space="preserve">атьях 9 и 11 Федерального закона от 26.07.2006 № 135-ФЗ «О защите конкуренции». </w:t>
            </w:r>
          </w:p>
        </w:tc>
      </w:tr>
    </w:tbl>
    <w:tbl>
      <w:tblPr>
        <w:tblW w:w="5000" w:type="pct"/>
        <w:tblCellMar>
          <w:top w:w="15" w:type="dxa"/>
          <w:left w:w="15" w:type="dxa"/>
          <w:bottom w:w="15" w:type="dxa"/>
          <w:right w:w="15" w:type="dxa"/>
        </w:tblCellMar>
        <w:tblLook w:val="04A0"/>
      </w:tblPr>
      <w:tblGrid>
        <w:gridCol w:w="2815"/>
        <w:gridCol w:w="6570"/>
      </w:tblGrid>
      <w:tr w:rsidR="00000000">
        <w:trPr>
          <w:divId w:val="1222709450"/>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Условия проведения процедуры</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Форма подачи предложений о цене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Открытая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Дата и время начала </w:t>
            </w:r>
            <w:r>
              <w:rPr>
                <w:rFonts w:eastAsia="Times New Roman"/>
              </w:rPr>
              <w:lastRenderedPageBreak/>
              <w:t>подачи заявок на участие</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lastRenderedPageBreak/>
              <w:t xml:space="preserve">03.12.2020 14:00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lastRenderedPageBreak/>
              <w:t>Дата и время окончания подачи заявок на участие</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11.01.2021 09:00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Дата рассмотрения заявок на участие (дата определения участников)</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14.01.2021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Дата и время начала торговой сессии</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18.01.2021 10:00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Порядок определения победителя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Указан в регламенте ТС ЭП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Требуется заключение договора в электронной форме</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Нет </w:t>
            </w:r>
          </w:p>
        </w:tc>
      </w:tr>
      <w:tr w:rsidR="00000000">
        <w:trPr>
          <w:divId w:val="1222709450"/>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Возможность отзыва заявки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До формирования протокола об определении участников </w:t>
            </w:r>
          </w:p>
        </w:tc>
      </w:tr>
    </w:tbl>
    <w:p w:rsidR="00000000" w:rsidRDefault="00AC5345">
      <w:pPr>
        <w:divId w:val="1416439932"/>
        <w:rPr>
          <w:rFonts w:eastAsia="Times New Roman"/>
          <w:vanish/>
        </w:rPr>
      </w:pPr>
    </w:p>
    <w:tbl>
      <w:tblPr>
        <w:tblW w:w="5000" w:type="pct"/>
        <w:tblCellMar>
          <w:top w:w="15" w:type="dxa"/>
          <w:left w:w="15" w:type="dxa"/>
          <w:bottom w:w="15" w:type="dxa"/>
          <w:right w:w="15" w:type="dxa"/>
        </w:tblCellMar>
        <w:tblLook w:val="04A0"/>
      </w:tblPr>
      <w:tblGrid>
        <w:gridCol w:w="2815"/>
        <w:gridCol w:w="6570"/>
      </w:tblGrid>
      <w:tr w:rsidR="00000000">
        <w:trPr>
          <w:divId w:val="1416439932"/>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Документы и сведения</w:t>
            </w:r>
          </w:p>
        </w:tc>
      </w:tr>
      <w:tr w:rsidR="00000000">
        <w:trPr>
          <w:divId w:val="1416439932"/>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Проект договора</w:t>
            </w:r>
            <w:r>
              <w:rPr>
                <w:rFonts w:eastAsia="Times New Roman"/>
              </w:rPr>
              <w:t xml:space="preserve"> </w:t>
            </w:r>
            <w:r>
              <w:rPr>
                <w:rFonts w:eastAsia="Times New Roman"/>
              </w:rPr>
              <w:t>*</w:t>
            </w:r>
          </w:p>
        </w:tc>
        <w:tc>
          <w:tcPr>
            <w:tcW w:w="0" w:type="auto"/>
            <w:tcBorders>
              <w:top w:val="single" w:sz="6" w:space="0" w:color="CCCCCC"/>
              <w:left w:val="single" w:sz="6" w:space="0" w:color="CCCCCC"/>
              <w:bottom w:val="single" w:sz="6" w:space="0" w:color="CCCCCC"/>
              <w:right w:val="single" w:sz="6" w:space="0" w:color="CCCCCC"/>
            </w:tcBorders>
            <w:hideMark/>
          </w:tcPr>
          <w:tbl>
            <w:tblPr>
              <w:tblW w:w="0" w:type="auto"/>
              <w:tblCellSpacing w:w="15" w:type="dxa"/>
              <w:tblCellMar>
                <w:top w:w="15" w:type="dxa"/>
                <w:left w:w="15" w:type="dxa"/>
                <w:bottom w:w="15" w:type="dxa"/>
                <w:right w:w="15" w:type="dxa"/>
              </w:tblCellMar>
              <w:tblLook w:val="04A0"/>
            </w:tblPr>
            <w:tblGrid>
              <w:gridCol w:w="4044"/>
            </w:tblGrid>
            <w:tr w:rsidR="00000000">
              <w:trPr>
                <w:divId w:val="621885386"/>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spacing w:after="240"/>
                    <w:rPr>
                      <w:rFonts w:eastAsia="Times New Roman"/>
                    </w:rPr>
                  </w:pPr>
                  <w:r>
                    <w:rPr>
                      <w:rFonts w:eastAsia="Times New Roman"/>
                    </w:rPr>
                    <w:t xml:space="preserve">Проект+договора+купли-продажи.doc </w:t>
                  </w:r>
                  <w:r>
                    <w:rPr>
                      <w:rFonts w:eastAsia="Times New Roman"/>
                    </w:rPr>
                    <w:br/>
                    <w:t xml:space="preserve">03.12.2020 </w:t>
                  </w:r>
                </w:p>
              </w:tc>
            </w:tr>
          </w:tbl>
          <w:p w:rsidR="00000000" w:rsidRDefault="00AC5345">
            <w:pPr>
              <w:rPr>
                <w:rFonts w:eastAsia="Times New Roman"/>
              </w:rPr>
            </w:pPr>
          </w:p>
        </w:tc>
      </w:tr>
      <w:tr w:rsidR="00000000">
        <w:trPr>
          <w:divId w:val="1416439932"/>
        </w:trPr>
        <w:tc>
          <w:tcPr>
            <w:tcW w:w="1500" w:type="pct"/>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Дополнительные документы и сведения </w:t>
            </w:r>
          </w:p>
        </w:tc>
        <w:tc>
          <w:tcPr>
            <w:tcW w:w="0" w:type="auto"/>
            <w:tcBorders>
              <w:top w:val="single" w:sz="6" w:space="0" w:color="CCCCCC"/>
              <w:left w:val="single" w:sz="6" w:space="0" w:color="CCCCCC"/>
              <w:bottom w:val="single" w:sz="6" w:space="0" w:color="CCCCCC"/>
              <w:right w:val="single" w:sz="6" w:space="0" w:color="CCCCCC"/>
            </w:tcBorders>
            <w:hideMark/>
          </w:tcPr>
          <w:tbl>
            <w:tblPr>
              <w:tblW w:w="0" w:type="auto"/>
              <w:tblCellSpacing w:w="15" w:type="dxa"/>
              <w:tblCellMar>
                <w:top w:w="15" w:type="dxa"/>
                <w:left w:w="15" w:type="dxa"/>
                <w:bottom w:w="15" w:type="dxa"/>
                <w:right w:w="15" w:type="dxa"/>
              </w:tblCellMar>
              <w:tblLook w:val="04A0"/>
            </w:tblPr>
            <w:tblGrid>
              <w:gridCol w:w="6524"/>
            </w:tblGrid>
            <w:tr w:rsidR="00000000">
              <w:trPr>
                <w:divId w:val="454563968"/>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spacing w:after="240"/>
                    <w:rPr>
                      <w:rFonts w:eastAsia="Times New Roman"/>
                    </w:rPr>
                  </w:pPr>
                  <w:r>
                    <w:rPr>
                      <w:rFonts w:eastAsia="Times New Roman"/>
                    </w:rPr>
                    <w:t xml:space="preserve">Заключение №20200888 Здание Кильмезь, Труда, 25, рыночная.pdf </w:t>
                  </w:r>
                  <w:r>
                    <w:rPr>
                      <w:rFonts w:eastAsia="Times New Roman"/>
                    </w:rPr>
                    <w:br/>
                    <w:t xml:space="preserve">03.12.2020 </w:t>
                  </w:r>
                </w:p>
              </w:tc>
            </w:tr>
            <w:tr w:rsidR="00000000">
              <w:trPr>
                <w:divId w:val="454563968"/>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spacing w:after="240"/>
                    <w:rPr>
                      <w:rFonts w:eastAsia="Times New Roman"/>
                    </w:rPr>
                  </w:pPr>
                  <w:r>
                    <w:rPr>
                      <w:rFonts w:eastAsia="Times New Roman"/>
                    </w:rPr>
                    <w:t xml:space="preserve">Отчет №20200888 Здание Кильмезь, Труда, 25, рыночная.pdf </w:t>
                  </w:r>
                  <w:r>
                    <w:rPr>
                      <w:rFonts w:eastAsia="Times New Roman"/>
                    </w:rPr>
                    <w:br/>
                    <w:t xml:space="preserve">03.12.2020 </w:t>
                  </w:r>
                </w:p>
              </w:tc>
            </w:tr>
            <w:tr w:rsidR="00000000">
              <w:trPr>
                <w:divId w:val="454563968"/>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spacing w:after="240"/>
                    <w:rPr>
                      <w:rFonts w:eastAsia="Times New Roman"/>
                    </w:rPr>
                  </w:pPr>
                  <w:r>
                    <w:rPr>
                      <w:rFonts w:eastAsia="Times New Roman"/>
                    </w:rPr>
                    <w:t xml:space="preserve">Постановление.doc </w:t>
                  </w:r>
                  <w:r>
                    <w:rPr>
                      <w:rFonts w:eastAsia="Times New Roman"/>
                    </w:rPr>
                    <w:br/>
                    <w:t xml:space="preserve">03.12.2020 </w:t>
                  </w:r>
                </w:p>
              </w:tc>
            </w:tr>
            <w:tr w:rsidR="00000000">
              <w:trPr>
                <w:divId w:val="454563968"/>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spacing w:after="240"/>
                    <w:rPr>
                      <w:rFonts w:eastAsia="Times New Roman"/>
                    </w:rPr>
                  </w:pPr>
                  <w:r>
                    <w:rPr>
                      <w:rFonts w:eastAsia="Times New Roman"/>
                    </w:rPr>
                    <w:t xml:space="preserve">2. аукционная документация.doc </w:t>
                  </w:r>
                  <w:r>
                    <w:rPr>
                      <w:rFonts w:eastAsia="Times New Roman"/>
                    </w:rPr>
                    <w:br/>
                    <w:t xml:space="preserve">03.12.2020 </w:t>
                  </w:r>
                </w:p>
              </w:tc>
            </w:tr>
          </w:tbl>
          <w:p w:rsidR="00000000" w:rsidRDefault="00AC5345">
            <w:pPr>
              <w:rPr>
                <w:rFonts w:eastAsia="Times New Roman"/>
              </w:rPr>
            </w:pPr>
          </w:p>
        </w:tc>
      </w:tr>
    </w:tbl>
    <w:tbl>
      <w:tblPr>
        <w:tblW w:w="0" w:type="auto"/>
        <w:tblCellSpacing w:w="15" w:type="dxa"/>
        <w:tblCellMar>
          <w:top w:w="15" w:type="dxa"/>
          <w:left w:w="15" w:type="dxa"/>
          <w:bottom w:w="15" w:type="dxa"/>
          <w:right w:w="15" w:type="dxa"/>
        </w:tblCellMar>
        <w:tblLook w:val="04A0"/>
      </w:tblPr>
      <w:tblGrid>
        <w:gridCol w:w="2510"/>
      </w:tblGrid>
      <w:tr w:rsidR="00000000">
        <w:trPr>
          <w:divId w:val="1222709450"/>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Запросы/Разъяснения </w:t>
            </w:r>
          </w:p>
        </w:tc>
      </w:tr>
      <w:tr w:rsidR="00000000">
        <w:trPr>
          <w:divId w:val="1222709450"/>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r>
    </w:tbl>
    <w:p w:rsidR="00000000" w:rsidRDefault="00AC5345">
      <w:pPr>
        <w:divId w:val="773407004"/>
        <w:rPr>
          <w:rFonts w:eastAsia="Times New Roman"/>
          <w:vanish/>
        </w:rPr>
      </w:pPr>
    </w:p>
    <w:tbl>
      <w:tblPr>
        <w:tblW w:w="0" w:type="auto"/>
        <w:tblCellSpacing w:w="15" w:type="dxa"/>
        <w:tblCellMar>
          <w:top w:w="15" w:type="dxa"/>
          <w:left w:w="15" w:type="dxa"/>
          <w:bottom w:w="15" w:type="dxa"/>
          <w:right w:w="15" w:type="dxa"/>
        </w:tblCellMar>
        <w:tblLook w:val="04A0"/>
      </w:tblPr>
      <w:tblGrid>
        <w:gridCol w:w="3825"/>
      </w:tblGrid>
      <w:tr w:rsidR="00000000">
        <w:trPr>
          <w:divId w:val="773407004"/>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Информация о приостановлениях </w:t>
            </w:r>
          </w:p>
        </w:tc>
      </w:tr>
      <w:tr w:rsidR="00000000">
        <w:trPr>
          <w:divId w:val="773407004"/>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r>
    </w:tbl>
    <w:tbl>
      <w:tblPr>
        <w:tblW w:w="0" w:type="auto"/>
        <w:tblCellSpacing w:w="15" w:type="dxa"/>
        <w:tblCellMar>
          <w:top w:w="15" w:type="dxa"/>
          <w:left w:w="15" w:type="dxa"/>
          <w:bottom w:w="15" w:type="dxa"/>
          <w:right w:w="15" w:type="dxa"/>
        </w:tblCellMar>
        <w:tblLook w:val="04A0"/>
      </w:tblPr>
      <w:tblGrid>
        <w:gridCol w:w="3425"/>
      </w:tblGrid>
      <w:tr w:rsidR="00000000">
        <w:trPr>
          <w:divId w:val="1222709450"/>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Информация о возобновлении </w:t>
            </w:r>
          </w:p>
        </w:tc>
      </w:tr>
      <w:tr w:rsidR="00000000">
        <w:trPr>
          <w:divId w:val="1222709450"/>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p>
        </w:tc>
      </w:tr>
    </w:tbl>
    <w:p w:rsidR="00000000" w:rsidRDefault="00AC5345">
      <w:pPr>
        <w:divId w:val="882908334"/>
        <w:rPr>
          <w:rFonts w:eastAsia="Times New Roman"/>
          <w:vanish/>
        </w:rPr>
      </w:pPr>
    </w:p>
    <w:tbl>
      <w:tblPr>
        <w:tblW w:w="0" w:type="auto"/>
        <w:tblCellSpacing w:w="15" w:type="dxa"/>
        <w:tblCellMar>
          <w:top w:w="15" w:type="dxa"/>
          <w:left w:w="15" w:type="dxa"/>
          <w:bottom w:w="15" w:type="dxa"/>
          <w:right w:w="15" w:type="dxa"/>
        </w:tblCellMar>
        <w:tblLook w:val="04A0"/>
      </w:tblPr>
      <w:tblGrid>
        <w:gridCol w:w="5617"/>
      </w:tblGrid>
      <w:tr w:rsidR="00000000">
        <w:trPr>
          <w:divId w:val="882908334"/>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События в хронологическом порядке </w:t>
            </w:r>
          </w:p>
        </w:tc>
      </w:tr>
      <w:tr w:rsidR="00000000">
        <w:trPr>
          <w:divId w:val="882908334"/>
          <w:tblCellSpacing w:w="15" w:type="dxa"/>
        </w:trPr>
        <w:tc>
          <w:tcPr>
            <w:tcW w:w="0" w:type="auto"/>
            <w:tcBorders>
              <w:top w:val="single" w:sz="6" w:space="0" w:color="CCCCCC"/>
              <w:left w:val="single" w:sz="6" w:space="0" w:color="CCCCCC"/>
              <w:bottom w:val="single" w:sz="6" w:space="0" w:color="CCCCCC"/>
              <w:right w:val="single" w:sz="6" w:space="0" w:color="CCCCCC"/>
            </w:tcBorders>
            <w:hideMark/>
          </w:tcPr>
          <w:tbl>
            <w:tblPr>
              <w:tblW w:w="0" w:type="auto"/>
              <w:tblCellSpacing w:w="15" w:type="dxa"/>
              <w:tblCellMar>
                <w:top w:w="15" w:type="dxa"/>
                <w:left w:w="15" w:type="dxa"/>
                <w:bottom w:w="15" w:type="dxa"/>
                <w:right w:w="15" w:type="dxa"/>
              </w:tblCellMar>
              <w:tblLook w:val="04A0"/>
            </w:tblPr>
            <w:tblGrid>
              <w:gridCol w:w="1792"/>
              <w:gridCol w:w="2506"/>
              <w:gridCol w:w="1183"/>
            </w:tblGrid>
            <w:tr w:rsidR="00000000">
              <w:trPr>
                <w:divId w:val="1731463190"/>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Дата события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Описание события </w:t>
                  </w:r>
                </w:p>
              </w:tc>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000000" w:rsidRDefault="00AC5345">
                  <w:pPr>
                    <w:rPr>
                      <w:rFonts w:eastAsia="Times New Roman"/>
                      <w:b/>
                      <w:bCs/>
                    </w:rPr>
                  </w:pPr>
                  <w:r>
                    <w:rPr>
                      <w:rFonts w:eastAsia="Times New Roman"/>
                      <w:b/>
                      <w:bCs/>
                    </w:rPr>
                    <w:t xml:space="preserve">Отменено </w:t>
                  </w:r>
                </w:p>
              </w:tc>
            </w:tr>
            <w:tr w:rsidR="00000000">
              <w:trPr>
                <w:divId w:val="1731463190"/>
                <w:tblCellSpacing w:w="15" w:type="dxa"/>
              </w:trPr>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03.12.2020 11:52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Публикация извещения </w:t>
                  </w:r>
                </w:p>
              </w:tc>
              <w:tc>
                <w:tcPr>
                  <w:tcW w:w="0" w:type="auto"/>
                  <w:tcBorders>
                    <w:top w:val="single" w:sz="6" w:space="0" w:color="CCCCCC"/>
                    <w:left w:val="single" w:sz="6" w:space="0" w:color="CCCCCC"/>
                    <w:bottom w:val="single" w:sz="6" w:space="0" w:color="CCCCCC"/>
                    <w:right w:val="single" w:sz="6" w:space="0" w:color="CCCCCC"/>
                  </w:tcBorders>
                  <w:hideMark/>
                </w:tcPr>
                <w:p w:rsidR="00000000" w:rsidRDefault="00AC5345">
                  <w:pPr>
                    <w:rPr>
                      <w:rFonts w:eastAsia="Times New Roman"/>
                    </w:rPr>
                  </w:pPr>
                  <w:r>
                    <w:rPr>
                      <w:rFonts w:eastAsia="Times New Roman"/>
                    </w:rPr>
                    <w:t xml:space="preserve">Нет </w:t>
                  </w:r>
                </w:p>
              </w:tc>
            </w:tr>
          </w:tbl>
          <w:p w:rsidR="00000000" w:rsidRDefault="00AC5345">
            <w:pPr>
              <w:rPr>
                <w:rFonts w:eastAsia="Times New Roman"/>
              </w:rPr>
            </w:pPr>
          </w:p>
        </w:tc>
      </w:tr>
    </w:tbl>
    <w:p w:rsidR="00000000" w:rsidRDefault="00AC5345">
      <w:pPr>
        <w:divId w:val="882908334"/>
        <w:rPr>
          <w:rFonts w:eastAsia="Times New Roman"/>
        </w:rPr>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AmszJcJj8SAqgNl0yZLFgeqksIw=" w:salt="6FcvsD/kTcEKa3ugclgi+w=="/>
  <w:defaultTabStop w:val="708"/>
  <w:noPunctuationKerning/>
  <w:characterSpacingControl w:val="doNotCompress"/>
  <w:compat/>
  <w:rsids>
    <w:rsidRoot w:val="00366362"/>
    <w:rsid w:val="00366362"/>
    <w:rsid w:val="00AC5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
    <w:name w:val="block"/>
    <w:basedOn w:val="a"/>
    <w:pPr>
      <w:spacing w:before="100" w:beforeAutospacing="1" w:after="100" w:afterAutospacing="1"/>
    </w:pPr>
  </w:style>
  <w:style w:type="paragraph" w:customStyle="1" w:styleId="block-head">
    <w:name w:val="block-head"/>
    <w:basedOn w:val="a"/>
    <w:pPr>
      <w:shd w:val="clear" w:color="auto" w:fill="CCCCCC"/>
      <w:spacing w:before="100" w:beforeAutospacing="1" w:after="100" w:afterAutospacing="1"/>
    </w:pPr>
  </w:style>
  <w:style w:type="paragraph" w:customStyle="1" w:styleId="block-lable">
    <w:name w:val="block-labl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841092113">
      <w:marLeft w:val="0"/>
      <w:marRight w:val="0"/>
      <w:marTop w:val="0"/>
      <w:marBottom w:val="0"/>
      <w:divBdr>
        <w:top w:val="none" w:sz="0" w:space="0" w:color="auto"/>
        <w:left w:val="none" w:sz="0" w:space="0" w:color="auto"/>
        <w:bottom w:val="none" w:sz="0" w:space="0" w:color="auto"/>
        <w:right w:val="none" w:sz="0" w:space="0" w:color="auto"/>
      </w:divBdr>
      <w:divsChild>
        <w:div w:id="604848878">
          <w:marLeft w:val="0"/>
          <w:marRight w:val="0"/>
          <w:marTop w:val="0"/>
          <w:marBottom w:val="0"/>
          <w:divBdr>
            <w:top w:val="none" w:sz="0" w:space="0" w:color="auto"/>
            <w:left w:val="none" w:sz="0" w:space="0" w:color="auto"/>
            <w:bottom w:val="none" w:sz="0" w:space="0" w:color="auto"/>
            <w:right w:val="none" w:sz="0" w:space="0" w:color="auto"/>
          </w:divBdr>
          <w:divsChild>
            <w:div w:id="1222709450">
              <w:marLeft w:val="0"/>
              <w:marRight w:val="0"/>
              <w:marTop w:val="0"/>
              <w:marBottom w:val="0"/>
              <w:divBdr>
                <w:top w:val="none" w:sz="0" w:space="0" w:color="auto"/>
                <w:left w:val="none" w:sz="0" w:space="0" w:color="auto"/>
                <w:bottom w:val="none" w:sz="0" w:space="0" w:color="auto"/>
                <w:right w:val="none" w:sz="0" w:space="0" w:color="auto"/>
              </w:divBdr>
              <w:divsChild>
                <w:div w:id="1417820240">
                  <w:marLeft w:val="0"/>
                  <w:marRight w:val="0"/>
                  <w:marTop w:val="0"/>
                  <w:marBottom w:val="0"/>
                  <w:divBdr>
                    <w:top w:val="none" w:sz="0" w:space="0" w:color="auto"/>
                    <w:left w:val="none" w:sz="0" w:space="0" w:color="auto"/>
                    <w:bottom w:val="none" w:sz="0" w:space="0" w:color="auto"/>
                    <w:right w:val="none" w:sz="0" w:space="0" w:color="auto"/>
                  </w:divBdr>
                  <w:divsChild>
                    <w:div w:id="2064518804">
                      <w:marLeft w:val="0"/>
                      <w:marRight w:val="0"/>
                      <w:marTop w:val="0"/>
                      <w:marBottom w:val="0"/>
                      <w:divBdr>
                        <w:top w:val="none" w:sz="0" w:space="0" w:color="auto"/>
                        <w:left w:val="none" w:sz="0" w:space="0" w:color="auto"/>
                        <w:bottom w:val="none" w:sz="0" w:space="0" w:color="auto"/>
                        <w:right w:val="none" w:sz="0" w:space="0" w:color="auto"/>
                      </w:divBdr>
                    </w:div>
                  </w:divsChild>
                </w:div>
                <w:div w:id="1318918639">
                  <w:marLeft w:val="0"/>
                  <w:marRight w:val="0"/>
                  <w:marTop w:val="0"/>
                  <w:marBottom w:val="0"/>
                  <w:divBdr>
                    <w:top w:val="none" w:sz="0" w:space="0" w:color="auto"/>
                    <w:left w:val="none" w:sz="0" w:space="0" w:color="auto"/>
                    <w:bottom w:val="none" w:sz="0" w:space="0" w:color="auto"/>
                    <w:right w:val="none" w:sz="0" w:space="0" w:color="auto"/>
                  </w:divBdr>
                  <w:divsChild>
                    <w:div w:id="1240945582">
                      <w:marLeft w:val="0"/>
                      <w:marRight w:val="0"/>
                      <w:marTop w:val="0"/>
                      <w:marBottom w:val="0"/>
                      <w:divBdr>
                        <w:top w:val="none" w:sz="0" w:space="0" w:color="auto"/>
                        <w:left w:val="none" w:sz="0" w:space="0" w:color="auto"/>
                        <w:bottom w:val="none" w:sz="0" w:space="0" w:color="auto"/>
                        <w:right w:val="none" w:sz="0" w:space="0" w:color="auto"/>
                      </w:divBdr>
                    </w:div>
                  </w:divsChild>
                </w:div>
                <w:div w:id="98987364">
                  <w:marLeft w:val="0"/>
                  <w:marRight w:val="0"/>
                  <w:marTop w:val="0"/>
                  <w:marBottom w:val="0"/>
                  <w:divBdr>
                    <w:top w:val="none" w:sz="0" w:space="0" w:color="auto"/>
                    <w:left w:val="none" w:sz="0" w:space="0" w:color="auto"/>
                    <w:bottom w:val="none" w:sz="0" w:space="0" w:color="auto"/>
                    <w:right w:val="none" w:sz="0" w:space="0" w:color="auto"/>
                  </w:divBdr>
                  <w:divsChild>
                    <w:div w:id="1265304274">
                      <w:marLeft w:val="0"/>
                      <w:marRight w:val="0"/>
                      <w:marTop w:val="0"/>
                      <w:marBottom w:val="0"/>
                      <w:divBdr>
                        <w:top w:val="none" w:sz="0" w:space="0" w:color="auto"/>
                        <w:left w:val="none" w:sz="0" w:space="0" w:color="auto"/>
                        <w:bottom w:val="none" w:sz="0" w:space="0" w:color="auto"/>
                        <w:right w:val="none" w:sz="0" w:space="0" w:color="auto"/>
                      </w:divBdr>
                      <w:divsChild>
                        <w:div w:id="4408006">
                          <w:marLeft w:val="0"/>
                          <w:marRight w:val="0"/>
                          <w:marTop w:val="0"/>
                          <w:marBottom w:val="0"/>
                          <w:divBdr>
                            <w:top w:val="none" w:sz="0" w:space="0" w:color="auto"/>
                            <w:left w:val="none" w:sz="0" w:space="0" w:color="auto"/>
                            <w:bottom w:val="none" w:sz="0" w:space="0" w:color="auto"/>
                            <w:right w:val="none" w:sz="0" w:space="0" w:color="auto"/>
                          </w:divBdr>
                        </w:div>
                      </w:divsChild>
                    </w:div>
                    <w:div w:id="1652713758">
                      <w:marLeft w:val="0"/>
                      <w:marRight w:val="0"/>
                      <w:marTop w:val="0"/>
                      <w:marBottom w:val="0"/>
                      <w:divBdr>
                        <w:top w:val="none" w:sz="0" w:space="0" w:color="auto"/>
                        <w:left w:val="none" w:sz="0" w:space="0" w:color="auto"/>
                        <w:bottom w:val="none" w:sz="0" w:space="0" w:color="auto"/>
                        <w:right w:val="none" w:sz="0" w:space="0" w:color="auto"/>
                      </w:divBdr>
                      <w:divsChild>
                        <w:div w:id="734088533">
                          <w:marLeft w:val="0"/>
                          <w:marRight w:val="0"/>
                          <w:marTop w:val="0"/>
                          <w:marBottom w:val="0"/>
                          <w:divBdr>
                            <w:top w:val="none" w:sz="0" w:space="0" w:color="auto"/>
                            <w:left w:val="none" w:sz="0" w:space="0" w:color="auto"/>
                            <w:bottom w:val="none" w:sz="0" w:space="0" w:color="auto"/>
                            <w:right w:val="none" w:sz="0" w:space="0" w:color="auto"/>
                          </w:divBdr>
                        </w:div>
                      </w:divsChild>
                    </w:div>
                    <w:div w:id="1025014040">
                      <w:marLeft w:val="0"/>
                      <w:marRight w:val="0"/>
                      <w:marTop w:val="0"/>
                      <w:marBottom w:val="0"/>
                      <w:divBdr>
                        <w:top w:val="none" w:sz="0" w:space="0" w:color="auto"/>
                        <w:left w:val="none" w:sz="0" w:space="0" w:color="auto"/>
                        <w:bottom w:val="none" w:sz="0" w:space="0" w:color="auto"/>
                        <w:right w:val="none" w:sz="0" w:space="0" w:color="auto"/>
                      </w:divBdr>
                    </w:div>
                    <w:div w:id="1206061078">
                      <w:marLeft w:val="0"/>
                      <w:marRight w:val="0"/>
                      <w:marTop w:val="0"/>
                      <w:marBottom w:val="0"/>
                      <w:divBdr>
                        <w:top w:val="none" w:sz="0" w:space="0" w:color="auto"/>
                        <w:left w:val="none" w:sz="0" w:space="0" w:color="auto"/>
                        <w:bottom w:val="none" w:sz="0" w:space="0" w:color="auto"/>
                        <w:right w:val="none" w:sz="0" w:space="0" w:color="auto"/>
                      </w:divBdr>
                    </w:div>
                    <w:div w:id="1388064231">
                      <w:marLeft w:val="0"/>
                      <w:marRight w:val="0"/>
                      <w:marTop w:val="0"/>
                      <w:marBottom w:val="0"/>
                      <w:divBdr>
                        <w:top w:val="none" w:sz="0" w:space="0" w:color="auto"/>
                        <w:left w:val="none" w:sz="0" w:space="0" w:color="auto"/>
                        <w:bottom w:val="none" w:sz="0" w:space="0" w:color="auto"/>
                        <w:right w:val="none" w:sz="0" w:space="0" w:color="auto"/>
                      </w:divBdr>
                      <w:divsChild>
                        <w:div w:id="21429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7521">
                  <w:marLeft w:val="0"/>
                  <w:marRight w:val="0"/>
                  <w:marTop w:val="0"/>
                  <w:marBottom w:val="0"/>
                  <w:divBdr>
                    <w:top w:val="none" w:sz="0" w:space="0" w:color="auto"/>
                    <w:left w:val="none" w:sz="0" w:space="0" w:color="auto"/>
                    <w:bottom w:val="none" w:sz="0" w:space="0" w:color="auto"/>
                    <w:right w:val="none" w:sz="0" w:space="0" w:color="auto"/>
                  </w:divBdr>
                </w:div>
                <w:div w:id="1416439932">
                  <w:marLeft w:val="0"/>
                  <w:marRight w:val="0"/>
                  <w:marTop w:val="0"/>
                  <w:marBottom w:val="0"/>
                  <w:divBdr>
                    <w:top w:val="none" w:sz="0" w:space="0" w:color="auto"/>
                    <w:left w:val="none" w:sz="0" w:space="0" w:color="auto"/>
                    <w:bottom w:val="none" w:sz="0" w:space="0" w:color="auto"/>
                    <w:right w:val="none" w:sz="0" w:space="0" w:color="auto"/>
                  </w:divBdr>
                  <w:divsChild>
                    <w:div w:id="1185244361">
                      <w:marLeft w:val="0"/>
                      <w:marRight w:val="0"/>
                      <w:marTop w:val="0"/>
                      <w:marBottom w:val="0"/>
                      <w:divBdr>
                        <w:top w:val="none" w:sz="0" w:space="0" w:color="auto"/>
                        <w:left w:val="none" w:sz="0" w:space="0" w:color="auto"/>
                        <w:bottom w:val="none" w:sz="0" w:space="0" w:color="auto"/>
                        <w:right w:val="none" w:sz="0" w:space="0" w:color="auto"/>
                      </w:divBdr>
                      <w:divsChild>
                        <w:div w:id="621885386">
                          <w:marLeft w:val="0"/>
                          <w:marRight w:val="0"/>
                          <w:marTop w:val="0"/>
                          <w:marBottom w:val="0"/>
                          <w:divBdr>
                            <w:top w:val="none" w:sz="0" w:space="0" w:color="auto"/>
                            <w:left w:val="none" w:sz="0" w:space="0" w:color="auto"/>
                            <w:bottom w:val="none" w:sz="0" w:space="0" w:color="auto"/>
                            <w:right w:val="none" w:sz="0" w:space="0" w:color="auto"/>
                          </w:divBdr>
                        </w:div>
                      </w:divsChild>
                    </w:div>
                    <w:div w:id="1798143174">
                      <w:marLeft w:val="0"/>
                      <w:marRight w:val="0"/>
                      <w:marTop w:val="0"/>
                      <w:marBottom w:val="0"/>
                      <w:divBdr>
                        <w:top w:val="none" w:sz="0" w:space="0" w:color="auto"/>
                        <w:left w:val="none" w:sz="0" w:space="0" w:color="auto"/>
                        <w:bottom w:val="none" w:sz="0" w:space="0" w:color="auto"/>
                        <w:right w:val="none" w:sz="0" w:space="0" w:color="auto"/>
                      </w:divBdr>
                      <w:divsChild>
                        <w:div w:id="4545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7004">
                  <w:marLeft w:val="0"/>
                  <w:marRight w:val="0"/>
                  <w:marTop w:val="0"/>
                  <w:marBottom w:val="0"/>
                  <w:divBdr>
                    <w:top w:val="none" w:sz="0" w:space="0" w:color="auto"/>
                    <w:left w:val="none" w:sz="0" w:space="0" w:color="auto"/>
                    <w:bottom w:val="none" w:sz="0" w:space="0" w:color="auto"/>
                    <w:right w:val="none" w:sz="0" w:space="0" w:color="auto"/>
                  </w:divBdr>
                </w:div>
                <w:div w:id="882908334">
                  <w:marLeft w:val="0"/>
                  <w:marRight w:val="0"/>
                  <w:marTop w:val="0"/>
                  <w:marBottom w:val="0"/>
                  <w:divBdr>
                    <w:top w:val="none" w:sz="0" w:space="0" w:color="auto"/>
                    <w:left w:val="none" w:sz="0" w:space="0" w:color="auto"/>
                    <w:bottom w:val="none" w:sz="0" w:space="0" w:color="auto"/>
                    <w:right w:val="none" w:sz="0" w:space="0" w:color="auto"/>
                  </w:divBdr>
                  <w:divsChild>
                    <w:div w:id="17314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X:\ShowIcon\icon-view.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X:\ShowIcon\view.png" TargetMode="External"/><Relationship Id="rId5" Type="http://schemas.openxmlformats.org/officeDocument/2006/relationships/hyperlink" Target="/AP/Util/DocumentView/%22%22" TargetMode="External"/><Relationship Id="rId4" Type="http://schemas.openxmlformats.org/officeDocument/2006/relationships/hyperlink" Target="file:///\\Comp1\AP\Util\DocumentView\%22%2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1757</Words>
  <Characters>12664</Characters>
  <Application>Microsoft Office Word</Application>
  <DocSecurity>0</DocSecurity>
  <Lines>105</Lines>
  <Paragraphs>28</Paragraphs>
  <ScaleCrop>false</ScaleCrop>
  <Company>Grizli777</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2020-12-07T08:11:00Z</dcterms:created>
  <dcterms:modified xsi:type="dcterms:W3CDTF">2020-12-07T08:11:00Z</dcterms:modified>
</cp:coreProperties>
</file>